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40FB12AB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A149A6">
        <w:rPr>
          <w:rFonts w:asciiTheme="minorHAnsi" w:hAnsiTheme="minorHAnsi" w:cstheme="minorHAnsi"/>
          <w:b/>
          <w:sz w:val="20"/>
          <w:szCs w:val="20"/>
        </w:rPr>
        <w:t>b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F82988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7B3ABB63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  <w:r w:rsidR="00F829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Pr="00717A24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0225085D" w14:textId="3C1AEAEC" w:rsidR="00E14311" w:rsidRPr="00332AE5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0 % 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(</w:t>
      </w:r>
      <w:r w:rsidR="00DC6D54">
        <w:rPr>
          <w:rFonts w:asciiTheme="minorHAnsi" w:hAnsiTheme="minorHAnsi" w:cstheme="minorHAnsi"/>
          <w:b/>
          <w:i/>
          <w:iCs/>
          <w:sz w:val="22"/>
          <w:szCs w:val="22"/>
        </w:rPr>
        <w:t>M</w:t>
      </w:r>
      <w:r w:rsidR="00A22A6B">
        <w:rPr>
          <w:rFonts w:asciiTheme="minorHAnsi" w:hAnsiTheme="minorHAnsi" w:cstheme="minorHAnsi"/>
          <w:b/>
          <w:i/>
          <w:iCs/>
          <w:sz w:val="22"/>
          <w:szCs w:val="22"/>
        </w:rPr>
        <w:t>onitor</w:t>
      </w:r>
      <w:r w:rsidR="00DC6D54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interaktywny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– Załącznik nr 1 do SWZ – Cecha </w:t>
      </w:r>
      <w:r w:rsidR="00DC6D54">
        <w:rPr>
          <w:rFonts w:asciiTheme="minorHAnsi" w:hAnsiTheme="minorHAnsi" w:cstheme="minorHAnsi"/>
          <w:b/>
          <w:i/>
          <w:iCs/>
          <w:sz w:val="22"/>
          <w:szCs w:val="22"/>
        </w:rPr>
        <w:t>E, F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096CA9FB" w:rsidR="00455692" w:rsidRPr="00251671" w:rsidRDefault="00DC6D54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75 cali 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DC6D54">
        <w:tc>
          <w:tcPr>
            <w:tcW w:w="1024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7BCDF412" w14:textId="02C30106" w:rsidR="00A5678F" w:rsidRDefault="00DC6D54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86 cali  </w:t>
            </w:r>
          </w:p>
        </w:tc>
        <w:tc>
          <w:tcPr>
            <w:tcW w:w="1918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2B5C9D06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733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4FAF000C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DC6D54">
        <w:trPr>
          <w:trHeight w:val="365"/>
          <w:jc w:val="center"/>
        </w:trPr>
        <w:tc>
          <w:tcPr>
            <w:tcW w:w="992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713D49D4" w:rsidR="000871F5" w:rsidRPr="00042C0A" w:rsidRDefault="00DC6D54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75 cali  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DC6D54" w:rsidRPr="00042C0A" w14:paraId="6970F2AB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0981C51F" w14:textId="77777777" w:rsidR="00DC6D54" w:rsidRPr="00042C0A" w:rsidRDefault="00DC6D54" w:rsidP="00DC6D54">
            <w:pPr>
              <w:numPr>
                <w:ilvl w:val="0"/>
                <w:numId w:val="3"/>
              </w:numPr>
              <w:suppressAutoHyphens w:val="0"/>
              <w:autoSpaceDN/>
              <w:spacing w:before="240"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5273E923" w14:textId="7A4D2187" w:rsidR="00DC6D54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Monitor interaktywny 86 cali  </w:t>
            </w:r>
          </w:p>
        </w:tc>
        <w:tc>
          <w:tcPr>
            <w:tcW w:w="1985" w:type="dxa"/>
            <w:vAlign w:val="center"/>
          </w:tcPr>
          <w:p w14:paraId="43C3CA5E" w14:textId="2D0246EE" w:rsidR="00DC6D54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9374C25" w14:textId="38850D1B" w:rsidR="00DC6D54" w:rsidRPr="00042C0A" w:rsidRDefault="00DC6D54" w:rsidP="00DC6D54">
            <w:pPr>
              <w:spacing w:before="240"/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5609A13E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DC6D54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monitora interaktywnego</w:t>
      </w:r>
      <w:r w:rsidR="0041444E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75 cali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”</w:t>
      </w:r>
      <w:r w:rsidR="0041444E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oraz” </w:t>
      </w:r>
      <w:r w:rsidR="0041444E"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 w:rsidR="0041444E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monitora interaktywnego 86 cali”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277F989E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5F1005">
        <w:rPr>
          <w:rFonts w:asciiTheme="minorHAnsi" w:hAnsiTheme="minorHAnsi" w:cstheme="minorHAnsi"/>
          <w:sz w:val="22"/>
          <w:szCs w:val="22"/>
        </w:rPr>
        <w:t>b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43BF"/>
    <w:rsid w:val="00206F89"/>
    <w:rsid w:val="00210E9E"/>
    <w:rsid w:val="002120C2"/>
    <w:rsid w:val="0021494A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444E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5F1005"/>
    <w:rsid w:val="006107E4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49A6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853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6</cp:revision>
  <cp:lastPrinted>2024-03-14T15:52:00Z</cp:lastPrinted>
  <dcterms:created xsi:type="dcterms:W3CDTF">2025-05-12T06:57:00Z</dcterms:created>
  <dcterms:modified xsi:type="dcterms:W3CDTF">2025-05-16T10:23:00Z</dcterms:modified>
</cp:coreProperties>
</file>